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EEAA6" w14:textId="77777777" w:rsidR="0035726B" w:rsidRPr="0035726B" w:rsidRDefault="00595E17" w:rsidP="0035726B">
      <w:pPr>
        <w:spacing w:after="12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bidi="hi-IN"/>
        </w:rPr>
      </w:pPr>
      <w:r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2.</w:t>
      </w:r>
      <w:r w:rsidR="007641D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6</w:t>
      </w:r>
      <w:r w:rsidR="00CC25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.</w:t>
      </w:r>
      <w:r w:rsidR="003572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3</w:t>
      </w:r>
      <w:r w:rsidR="00903325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: </w:t>
      </w:r>
      <w:r w:rsidR="007540D2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ab/>
      </w:r>
      <w:r w:rsidR="00946BDA" w:rsidRPr="00946B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 </w:t>
      </w:r>
      <w:r w:rsidR="0035726B" w:rsidRPr="003572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bidi="hi-IN"/>
        </w:rPr>
        <w:t xml:space="preserve">Average pass percentage of Students during last five years  </w:t>
      </w:r>
    </w:p>
    <w:p w14:paraId="7F4CC428" w14:textId="77777777" w:rsidR="0035726B" w:rsidRPr="0035726B" w:rsidRDefault="0035726B" w:rsidP="0035726B">
      <w:pPr>
        <w:spacing w:after="120"/>
        <w:ind w:left="1560" w:hanging="851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bidi="hi-IN"/>
        </w:rPr>
      </w:pPr>
      <w:r w:rsidRPr="0035726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bidi="hi-IN"/>
        </w:rPr>
        <w:t xml:space="preserve">2.6.3.1.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bidi="hi-IN"/>
        </w:rPr>
        <w:tab/>
      </w:r>
      <w:r w:rsidRPr="0035726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bidi="hi-IN"/>
        </w:rPr>
        <w:t>Total number of final year students who passed the university examination year wise during the last five years</w:t>
      </w:r>
    </w:p>
    <w:p w14:paraId="3F0E3B47" w14:textId="77777777" w:rsidR="0035726B" w:rsidRPr="0035726B" w:rsidRDefault="0035726B" w:rsidP="0035726B">
      <w:pPr>
        <w:spacing w:after="120"/>
        <w:ind w:left="1560" w:hanging="851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bidi="hi-IN"/>
        </w:rPr>
      </w:pPr>
      <w:r w:rsidRPr="0035726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bidi="hi-IN"/>
        </w:rPr>
        <w:t xml:space="preserve">2.6.3.2.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bidi="hi-IN"/>
        </w:rPr>
        <w:tab/>
      </w:r>
      <w:r w:rsidRPr="0035726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bidi="hi-IN"/>
        </w:rPr>
        <w:t>Total number of final year students who appeared for the university examination year wise during the last five years</w:t>
      </w:r>
    </w:p>
    <w:p w14:paraId="2004D94E" w14:textId="77777777" w:rsidR="0035726B" w:rsidRDefault="0035726B" w:rsidP="0035726B">
      <w:pPr>
        <w:spacing w:before="48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hi-IN"/>
        </w:rPr>
      </w:pPr>
      <w:r w:rsidRPr="00B96FF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hi-IN"/>
        </w:rPr>
        <w:t>INDEX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7229"/>
        <w:gridCol w:w="1054"/>
      </w:tblGrid>
      <w:tr w:rsidR="0035726B" w:rsidRPr="00A80809" w14:paraId="26B87FA1" w14:textId="77777777" w:rsidTr="0035726B">
        <w:trPr>
          <w:trHeight w:val="454"/>
        </w:trPr>
        <w:tc>
          <w:tcPr>
            <w:tcW w:w="959" w:type="dxa"/>
          </w:tcPr>
          <w:p w14:paraId="751135E3" w14:textId="77777777" w:rsidR="0035726B" w:rsidRPr="00A80809" w:rsidRDefault="0035726B" w:rsidP="00B136D6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0809">
              <w:rPr>
                <w:rFonts w:ascii="Times New Roman" w:eastAsia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7229" w:type="dxa"/>
          </w:tcPr>
          <w:p w14:paraId="304D3A48" w14:textId="77777777" w:rsidR="0035726B" w:rsidRPr="00A80809" w:rsidRDefault="0035726B" w:rsidP="00B136D6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0809">
              <w:rPr>
                <w:rFonts w:ascii="Times New Roman" w:eastAsia="Times New Roman" w:hAnsi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054" w:type="dxa"/>
          </w:tcPr>
          <w:p w14:paraId="1DC19687" w14:textId="77777777" w:rsidR="0035726B" w:rsidRPr="00A80809" w:rsidRDefault="0035726B" w:rsidP="0035726B">
            <w:pPr>
              <w:spacing w:line="276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0809">
              <w:rPr>
                <w:rFonts w:ascii="Times New Roman" w:eastAsia="Times New Roman" w:hAnsi="Times New Roman"/>
                <w:b/>
                <w:sz w:val="24"/>
                <w:szCs w:val="24"/>
              </w:rPr>
              <w:t>Pg. No.</w:t>
            </w:r>
          </w:p>
        </w:tc>
      </w:tr>
      <w:tr w:rsidR="0035726B" w:rsidRPr="00A80809" w14:paraId="55E4F15F" w14:textId="77777777" w:rsidTr="0035726B">
        <w:trPr>
          <w:trHeight w:val="454"/>
        </w:trPr>
        <w:tc>
          <w:tcPr>
            <w:tcW w:w="959" w:type="dxa"/>
          </w:tcPr>
          <w:p w14:paraId="0F04FB03" w14:textId="77777777" w:rsidR="0035726B" w:rsidRPr="00A80809" w:rsidRDefault="0035726B" w:rsidP="0035726B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4D1E6C6B" w14:textId="77777777" w:rsidR="0035726B" w:rsidRPr="00A80809" w:rsidRDefault="0035726B" w:rsidP="00B136D6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726B">
              <w:rPr>
                <w:rFonts w:ascii="Times New Roman" w:eastAsia="Times New Roman" w:hAnsi="Times New Roman"/>
                <w:sz w:val="24"/>
                <w:szCs w:val="24"/>
              </w:rPr>
              <w:t>Average pass percentage of Students</w:t>
            </w:r>
          </w:p>
        </w:tc>
        <w:tc>
          <w:tcPr>
            <w:tcW w:w="1054" w:type="dxa"/>
          </w:tcPr>
          <w:p w14:paraId="233225E8" w14:textId="77777777" w:rsidR="0035726B" w:rsidRPr="00A80809" w:rsidRDefault="0035726B" w:rsidP="0035726B">
            <w:pPr>
              <w:spacing w:line="27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5726B" w:rsidRPr="00A80809" w14:paraId="7D5D2283" w14:textId="77777777" w:rsidTr="0035726B">
        <w:trPr>
          <w:trHeight w:val="454"/>
        </w:trPr>
        <w:tc>
          <w:tcPr>
            <w:tcW w:w="959" w:type="dxa"/>
          </w:tcPr>
          <w:p w14:paraId="4B0CBD47" w14:textId="77777777" w:rsidR="0035726B" w:rsidRPr="00A80809" w:rsidRDefault="0035726B" w:rsidP="0035726B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42C6189F" w14:textId="77777777" w:rsidR="0035726B" w:rsidRPr="00A80809" w:rsidRDefault="000026A2" w:rsidP="0035726B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26A2">
              <w:rPr>
                <w:rFonts w:ascii="Times New Roman" w:eastAsia="Times New Roman" w:hAnsi="Times New Roman"/>
                <w:sz w:val="24"/>
                <w:szCs w:val="24"/>
              </w:rPr>
              <w:t>UG Results and PG Result</w:t>
            </w:r>
          </w:p>
        </w:tc>
        <w:tc>
          <w:tcPr>
            <w:tcW w:w="1054" w:type="dxa"/>
          </w:tcPr>
          <w:p w14:paraId="44AB5EB5" w14:textId="77777777" w:rsidR="0035726B" w:rsidRPr="00A80809" w:rsidRDefault="0035726B" w:rsidP="0035726B">
            <w:pPr>
              <w:spacing w:line="27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080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0026A2" w:rsidRPr="00A80809" w14:paraId="60DB5AF1" w14:textId="77777777" w:rsidTr="0035726B">
        <w:trPr>
          <w:trHeight w:val="454"/>
        </w:trPr>
        <w:tc>
          <w:tcPr>
            <w:tcW w:w="959" w:type="dxa"/>
          </w:tcPr>
          <w:p w14:paraId="7901F6D8" w14:textId="77777777" w:rsidR="000026A2" w:rsidRPr="00A80809" w:rsidRDefault="000026A2" w:rsidP="0035726B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5B67B507" w14:textId="77777777" w:rsidR="000026A2" w:rsidRPr="000026A2" w:rsidRDefault="000026A2" w:rsidP="0035726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Link for supporting documents (university result and result analysis)</w:t>
            </w:r>
          </w:p>
        </w:tc>
        <w:tc>
          <w:tcPr>
            <w:tcW w:w="1054" w:type="dxa"/>
          </w:tcPr>
          <w:p w14:paraId="3498B16C" w14:textId="77777777" w:rsidR="000026A2" w:rsidRPr="00A80809" w:rsidRDefault="002E08F6" w:rsidP="0035726B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</w:tbl>
    <w:p w14:paraId="5A3CC02B" w14:textId="77777777" w:rsidR="001E1133" w:rsidRPr="0035726B" w:rsidRDefault="0035726B" w:rsidP="00E47776">
      <w:pPr>
        <w:pStyle w:val="ListParagraph"/>
        <w:numPr>
          <w:ilvl w:val="0"/>
          <w:numId w:val="9"/>
        </w:numPr>
        <w:spacing w:before="360" w:after="120"/>
        <w:ind w:left="425" w:hanging="425"/>
        <w:contextualSpacing w:val="0"/>
        <w:rPr>
          <w:rFonts w:ascii="Times New Roman" w:hAnsi="Times New Roman"/>
          <w:b/>
          <w:color w:val="000000"/>
          <w:sz w:val="32"/>
          <w:szCs w:val="32"/>
          <w:lang w:val="en-IN"/>
        </w:rPr>
      </w:pPr>
      <w:r w:rsidRPr="0035726B">
        <w:rPr>
          <w:rFonts w:ascii="Times New Roman" w:hAnsi="Times New Roman"/>
          <w:b/>
          <w:bCs/>
          <w:iCs/>
          <w:sz w:val="32"/>
          <w:szCs w:val="32"/>
          <w:shd w:val="clear" w:color="auto" w:fill="FFFFFF"/>
        </w:rPr>
        <w:t>Average pass percentage of Students</w:t>
      </w:r>
    </w:p>
    <w:p w14:paraId="67A50BAF" w14:textId="77777777" w:rsidR="0035726B" w:rsidRDefault="0035726B" w:rsidP="0035726B">
      <w:pPr>
        <w:rPr>
          <w:rFonts w:ascii="Times New Roman" w:hAnsi="Times New Roman"/>
          <w:b/>
          <w:color w:val="000000"/>
          <w:sz w:val="32"/>
          <w:szCs w:val="32"/>
          <w:lang w:val="en-IN"/>
        </w:rPr>
      </w:pPr>
      <w:r w:rsidRPr="0035726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bidi="hi-IN"/>
        </w:rPr>
        <w:t xml:space="preserve">Total number of final year students who appeared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bidi="hi-IN"/>
        </w:rPr>
        <w:t xml:space="preserve">and </w:t>
      </w:r>
      <w:r w:rsidRPr="0035726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bidi="hi-IN"/>
        </w:rPr>
        <w:t>passed the university examination year wise during the last five years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bidi="hi-IN"/>
        </w:rPr>
        <w:t xml:space="preserve"> and a</w:t>
      </w:r>
      <w:r w:rsidRPr="0035726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bidi="hi-IN"/>
        </w:rPr>
        <w:t xml:space="preserve">verage pass percentage of Students during last five years 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bidi="hi-IN"/>
        </w:rPr>
        <w:t>in the institute is summarized in Table below.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90"/>
        <w:gridCol w:w="810"/>
        <w:gridCol w:w="810"/>
        <w:gridCol w:w="810"/>
        <w:gridCol w:w="810"/>
        <w:gridCol w:w="813"/>
      </w:tblGrid>
      <w:tr w:rsidR="0035726B" w:rsidRPr="0035726B" w14:paraId="35BDE832" w14:textId="77777777" w:rsidTr="0035726B">
        <w:trPr>
          <w:trHeight w:val="46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1BE1F27" w14:textId="77777777" w:rsidR="0035726B" w:rsidRPr="0035726B" w:rsidRDefault="0035726B" w:rsidP="0035726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2060"/>
                <w:sz w:val="24"/>
                <w:szCs w:val="24"/>
                <w:lang w:val="en-IN" w:eastAsia="en-IN"/>
              </w:rPr>
            </w:pPr>
            <w:r w:rsidRPr="0035726B">
              <w:rPr>
                <w:rFonts w:ascii="Book Antiqua" w:eastAsia="Times New Roman" w:hAnsi="Book Antiqua" w:cs="Calibri"/>
                <w:b/>
                <w:bCs/>
                <w:color w:val="002060"/>
                <w:sz w:val="24"/>
                <w:szCs w:val="24"/>
                <w:lang w:val="en-IN" w:eastAsia="en-IN"/>
              </w:rPr>
              <w:t>Average pass percentage of Students during last five years</w:t>
            </w:r>
          </w:p>
        </w:tc>
      </w:tr>
      <w:tr w:rsidR="0035726B" w:rsidRPr="0035726B" w14:paraId="13F4B2ED" w14:textId="77777777" w:rsidTr="0035726B">
        <w:trPr>
          <w:trHeight w:val="460"/>
        </w:trPr>
        <w:tc>
          <w:tcPr>
            <w:tcW w:w="28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51819583" w14:textId="77777777" w:rsidR="0035726B" w:rsidRPr="0035726B" w:rsidRDefault="0035726B" w:rsidP="0035726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35726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351AA23" w14:textId="77777777" w:rsidR="0035726B" w:rsidRPr="0035726B" w:rsidRDefault="0035726B" w:rsidP="0035726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35726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15-16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EF901F8" w14:textId="77777777" w:rsidR="0035726B" w:rsidRPr="0035726B" w:rsidRDefault="0035726B" w:rsidP="0035726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35726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16-17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51CD474E" w14:textId="77777777" w:rsidR="0035726B" w:rsidRPr="0035726B" w:rsidRDefault="0035726B" w:rsidP="0035726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35726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17-18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B356EBA" w14:textId="77777777" w:rsidR="0035726B" w:rsidRPr="0035726B" w:rsidRDefault="0035726B" w:rsidP="0035726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35726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18-19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5BE5A4EB" w14:textId="77777777" w:rsidR="0035726B" w:rsidRPr="0035726B" w:rsidRDefault="0035726B" w:rsidP="0035726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35726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19-20</w:t>
            </w:r>
          </w:p>
        </w:tc>
      </w:tr>
      <w:tr w:rsidR="0035726B" w:rsidRPr="0035726B" w14:paraId="653201C3" w14:textId="77777777" w:rsidTr="0035726B">
        <w:trPr>
          <w:trHeight w:val="460"/>
        </w:trPr>
        <w:tc>
          <w:tcPr>
            <w:tcW w:w="28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0E2A0" w14:textId="77777777" w:rsidR="0035726B" w:rsidRPr="0035726B" w:rsidRDefault="0035726B" w:rsidP="0035726B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35726B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  <w:t>Number of students appeared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2D443" w14:textId="77777777" w:rsidR="0035726B" w:rsidRPr="0035726B" w:rsidRDefault="0035726B" w:rsidP="0035726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35726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916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5FAC2" w14:textId="77777777" w:rsidR="0035726B" w:rsidRPr="0035726B" w:rsidRDefault="0035726B" w:rsidP="0035726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35726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997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1DE4F" w14:textId="77777777" w:rsidR="0035726B" w:rsidRPr="0035726B" w:rsidRDefault="0035726B" w:rsidP="0035726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35726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929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A63E0" w14:textId="77777777" w:rsidR="0035726B" w:rsidRPr="0035726B" w:rsidRDefault="0035726B" w:rsidP="0035726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35726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1030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666C9" w14:textId="77777777" w:rsidR="0035726B" w:rsidRPr="0035726B" w:rsidRDefault="0035726B" w:rsidP="0035726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35726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941</w:t>
            </w:r>
          </w:p>
        </w:tc>
      </w:tr>
      <w:tr w:rsidR="0035726B" w:rsidRPr="0035726B" w14:paraId="3F451C93" w14:textId="77777777" w:rsidTr="0035726B">
        <w:trPr>
          <w:trHeight w:val="460"/>
        </w:trPr>
        <w:tc>
          <w:tcPr>
            <w:tcW w:w="28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A8063" w14:textId="77777777" w:rsidR="0035726B" w:rsidRPr="0035726B" w:rsidRDefault="0035726B" w:rsidP="0035726B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35726B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  <w:t>Number of students passes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C3B0B" w14:textId="77777777" w:rsidR="0035726B" w:rsidRPr="0035726B" w:rsidRDefault="0035726B" w:rsidP="0035726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35726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845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1F01B" w14:textId="77777777" w:rsidR="0035726B" w:rsidRPr="0035726B" w:rsidRDefault="0035726B" w:rsidP="0035726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35726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929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53738" w14:textId="77777777" w:rsidR="0035726B" w:rsidRPr="0035726B" w:rsidRDefault="0035726B" w:rsidP="0035726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35726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834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4191E" w14:textId="77777777" w:rsidR="0035726B" w:rsidRPr="0035726B" w:rsidRDefault="0035726B" w:rsidP="0035726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35726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915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44919" w14:textId="77777777" w:rsidR="0035726B" w:rsidRPr="0035726B" w:rsidRDefault="0035726B" w:rsidP="0035726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35726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908</w:t>
            </w:r>
          </w:p>
        </w:tc>
      </w:tr>
      <w:tr w:rsidR="0035726B" w:rsidRPr="0035726B" w14:paraId="59BD4D26" w14:textId="77777777" w:rsidTr="0035726B">
        <w:trPr>
          <w:trHeight w:val="650"/>
        </w:trPr>
        <w:tc>
          <w:tcPr>
            <w:tcW w:w="28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5965FABC" w14:textId="77777777" w:rsidR="0035726B" w:rsidRPr="0035726B" w:rsidRDefault="0035726B" w:rsidP="0035726B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35726B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  <w:t>Average pass percentage of Students during last five years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3850D524" w14:textId="77777777" w:rsidR="0035726B" w:rsidRPr="0035726B" w:rsidRDefault="0035726B" w:rsidP="0035726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35726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92.25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100D8D90" w14:textId="77777777" w:rsidR="0035726B" w:rsidRPr="0035726B" w:rsidRDefault="0035726B" w:rsidP="0035726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35726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93.18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72FC8BBA" w14:textId="77777777" w:rsidR="0035726B" w:rsidRPr="0035726B" w:rsidRDefault="0035726B" w:rsidP="0035726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35726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89.77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5D89442C" w14:textId="77777777" w:rsidR="0035726B" w:rsidRPr="0035726B" w:rsidRDefault="0035726B" w:rsidP="0035726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35726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88.83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76093182" w14:textId="77777777" w:rsidR="0035726B" w:rsidRPr="0035726B" w:rsidRDefault="0035726B" w:rsidP="0035726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35726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96.49</w:t>
            </w:r>
          </w:p>
        </w:tc>
      </w:tr>
    </w:tbl>
    <w:p w14:paraId="4E458DA2" w14:textId="77777777" w:rsidR="0035726B" w:rsidRDefault="0035726B" w:rsidP="0035726B">
      <w:pPr>
        <w:rPr>
          <w:rFonts w:ascii="Times New Roman" w:hAnsi="Times New Roman"/>
          <w:b/>
          <w:color w:val="000000"/>
          <w:sz w:val="32"/>
          <w:szCs w:val="32"/>
          <w:lang w:val="en-IN"/>
        </w:rPr>
      </w:pPr>
    </w:p>
    <w:p w14:paraId="5D577018" w14:textId="77777777" w:rsidR="0035726B" w:rsidRDefault="0035726B" w:rsidP="0035726B">
      <w:pPr>
        <w:jc w:val="center"/>
        <w:rPr>
          <w:rFonts w:ascii="Times New Roman" w:hAnsi="Times New Roman"/>
          <w:b/>
          <w:color w:val="000000"/>
          <w:sz w:val="32"/>
          <w:szCs w:val="32"/>
          <w:lang w:val="en-IN"/>
        </w:rPr>
      </w:pPr>
      <w:r>
        <w:rPr>
          <w:noProof/>
          <w:lang w:val="en-IN" w:eastAsia="en-IN"/>
        </w:rPr>
        <w:drawing>
          <wp:inline distT="0" distB="0" distL="0" distR="0" wp14:anchorId="3FFFDD27" wp14:editId="55D3F756">
            <wp:extent cx="3902075" cy="2092325"/>
            <wp:effectExtent l="0" t="0" r="22225" b="2222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E74264D" w14:textId="77777777" w:rsidR="00E47776" w:rsidRPr="00E47776" w:rsidRDefault="00E47776" w:rsidP="00E47776">
      <w:pPr>
        <w:pStyle w:val="ListParagraph"/>
        <w:numPr>
          <w:ilvl w:val="0"/>
          <w:numId w:val="9"/>
        </w:numPr>
        <w:spacing w:before="360" w:after="120"/>
        <w:ind w:left="425" w:hanging="425"/>
        <w:contextualSpacing w:val="0"/>
        <w:rPr>
          <w:rFonts w:ascii="Times New Roman" w:hAnsi="Times New Roman"/>
          <w:b/>
          <w:bCs/>
          <w:iCs/>
          <w:sz w:val="32"/>
          <w:szCs w:val="32"/>
          <w:shd w:val="clear" w:color="auto" w:fill="FFFFFF"/>
        </w:rPr>
      </w:pPr>
      <w:r w:rsidRPr="00E47776">
        <w:rPr>
          <w:rFonts w:ascii="Times New Roman" w:hAnsi="Times New Roman"/>
          <w:b/>
          <w:bCs/>
          <w:iCs/>
          <w:sz w:val="32"/>
          <w:szCs w:val="32"/>
          <w:shd w:val="clear" w:color="auto" w:fill="FFFFFF"/>
        </w:rPr>
        <w:lastRenderedPageBreak/>
        <w:t xml:space="preserve">UG Results and PG Result </w:t>
      </w:r>
    </w:p>
    <w:p w14:paraId="48EE5328" w14:textId="77777777" w:rsidR="0035726B" w:rsidRDefault="0035726B" w:rsidP="002E08F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bidi="hi-IN"/>
        </w:rPr>
      </w:pPr>
      <w:r w:rsidRPr="00E4777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bidi="hi-IN"/>
        </w:rPr>
        <w:t xml:space="preserve">The Table </w:t>
      </w:r>
      <w:r w:rsidR="00E4777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bidi="hi-IN"/>
        </w:rPr>
        <w:t xml:space="preserve">and bar chart </w:t>
      </w:r>
      <w:r w:rsidRPr="00E4777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bidi="hi-IN"/>
        </w:rPr>
        <w:t xml:space="preserve">below gives the information of UG result and </w:t>
      </w:r>
      <w:r w:rsidR="00E47776" w:rsidRPr="00E4777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bidi="hi-IN"/>
        </w:rPr>
        <w:t>PG result of the Institute during last five year.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90"/>
        <w:gridCol w:w="810"/>
        <w:gridCol w:w="810"/>
        <w:gridCol w:w="810"/>
        <w:gridCol w:w="810"/>
        <w:gridCol w:w="813"/>
      </w:tblGrid>
      <w:tr w:rsidR="00E47776" w:rsidRPr="00E47776" w14:paraId="5E364A88" w14:textId="77777777" w:rsidTr="002E08F6">
        <w:trPr>
          <w:trHeight w:val="62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79F8F0AE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206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b/>
                <w:bCs/>
                <w:color w:val="002060"/>
                <w:sz w:val="24"/>
                <w:szCs w:val="24"/>
                <w:lang w:val="en-IN" w:eastAsia="en-IN"/>
              </w:rPr>
              <w:t xml:space="preserve">Average pass percentage of </w:t>
            </w:r>
            <w:r>
              <w:rPr>
                <w:rFonts w:ascii="Book Antiqua" w:eastAsia="Times New Roman" w:hAnsi="Book Antiqua" w:cs="Calibri"/>
                <w:b/>
                <w:bCs/>
                <w:color w:val="002060"/>
                <w:sz w:val="24"/>
                <w:szCs w:val="24"/>
                <w:lang w:val="en-IN" w:eastAsia="en-IN"/>
              </w:rPr>
              <w:t xml:space="preserve">UG and PG </w:t>
            </w:r>
            <w:r w:rsidRPr="00E47776">
              <w:rPr>
                <w:rFonts w:ascii="Book Antiqua" w:eastAsia="Times New Roman" w:hAnsi="Book Antiqua" w:cs="Calibri"/>
                <w:b/>
                <w:bCs/>
                <w:color w:val="002060"/>
                <w:sz w:val="24"/>
                <w:szCs w:val="24"/>
                <w:lang w:val="en-IN" w:eastAsia="en-IN"/>
              </w:rPr>
              <w:t>Students during last five years</w:t>
            </w:r>
          </w:p>
        </w:tc>
      </w:tr>
      <w:tr w:rsidR="00E47776" w:rsidRPr="00E47776" w14:paraId="532EF6FA" w14:textId="77777777" w:rsidTr="002E08F6">
        <w:trPr>
          <w:trHeight w:val="624"/>
        </w:trPr>
        <w:tc>
          <w:tcPr>
            <w:tcW w:w="28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3D61F0B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2871C875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15-16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023F3B7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16-17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E498AB2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17-18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65AB8FD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18-19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1779229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19-20</w:t>
            </w:r>
          </w:p>
        </w:tc>
      </w:tr>
      <w:tr w:rsidR="00E47776" w:rsidRPr="00E47776" w14:paraId="30472242" w14:textId="77777777" w:rsidTr="002E08F6">
        <w:trPr>
          <w:trHeight w:val="624"/>
        </w:trPr>
        <w:tc>
          <w:tcPr>
            <w:tcW w:w="28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BC5A49E" w14:textId="77777777" w:rsidR="00E47776" w:rsidRPr="00E47776" w:rsidRDefault="00E47776" w:rsidP="00E47776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  <w:t>Number of students appeared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78492C65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792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2A390738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886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68D6B1CE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831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0F700A19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914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584027E3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848</w:t>
            </w:r>
          </w:p>
        </w:tc>
      </w:tr>
      <w:tr w:rsidR="00E47776" w:rsidRPr="00E47776" w14:paraId="0406F234" w14:textId="77777777" w:rsidTr="002E08F6">
        <w:trPr>
          <w:trHeight w:val="624"/>
        </w:trPr>
        <w:tc>
          <w:tcPr>
            <w:tcW w:w="28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3F9FBF1" w14:textId="77777777" w:rsidR="00E47776" w:rsidRPr="00E47776" w:rsidRDefault="00E47776" w:rsidP="00E47776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  <w:t>Number of students passes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18432EB6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744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6463ADA5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841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5F096F40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757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07FDE210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836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31D6444C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842</w:t>
            </w:r>
          </w:p>
        </w:tc>
      </w:tr>
      <w:tr w:rsidR="00E47776" w:rsidRPr="00E47776" w14:paraId="66213A12" w14:textId="77777777" w:rsidTr="002E08F6">
        <w:trPr>
          <w:trHeight w:val="624"/>
        </w:trPr>
        <w:tc>
          <w:tcPr>
            <w:tcW w:w="28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19865929" w14:textId="77777777" w:rsidR="00E47776" w:rsidRPr="00E47776" w:rsidRDefault="00E47776" w:rsidP="00E47776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  <w:t>Avg. Pass % UG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52172A13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93.94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5DB5ECDF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94.92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274D1C47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91.10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54428D88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91.47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183C8E06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99.29</w:t>
            </w:r>
          </w:p>
        </w:tc>
      </w:tr>
      <w:tr w:rsidR="00E47776" w:rsidRPr="00E47776" w14:paraId="75E3B25E" w14:textId="77777777" w:rsidTr="002E08F6">
        <w:trPr>
          <w:trHeight w:val="624"/>
        </w:trPr>
        <w:tc>
          <w:tcPr>
            <w:tcW w:w="28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23BD9FBB" w14:textId="77777777" w:rsidR="00E47776" w:rsidRPr="00E47776" w:rsidRDefault="00E47776" w:rsidP="00E47776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  <w:t>Number of students appeared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3CA57E95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124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33F5F611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111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7DEDBF24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98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24CAC788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116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12558533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93</w:t>
            </w:r>
          </w:p>
        </w:tc>
      </w:tr>
      <w:tr w:rsidR="00E47776" w:rsidRPr="00E47776" w14:paraId="54311614" w14:textId="77777777" w:rsidTr="002E08F6">
        <w:trPr>
          <w:trHeight w:val="624"/>
        </w:trPr>
        <w:tc>
          <w:tcPr>
            <w:tcW w:w="28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3B3EACDF" w14:textId="77777777" w:rsidR="00E47776" w:rsidRPr="00E47776" w:rsidRDefault="00E47776" w:rsidP="00E47776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  <w:t>Number of students passes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6E7AB010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101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73C159D5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88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5BA042AE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77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2E2AE242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79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3E36B7AC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66</w:t>
            </w:r>
          </w:p>
        </w:tc>
      </w:tr>
      <w:tr w:rsidR="00E47776" w:rsidRPr="00E47776" w14:paraId="5E3D96F7" w14:textId="77777777" w:rsidTr="002E08F6">
        <w:trPr>
          <w:trHeight w:val="624"/>
        </w:trPr>
        <w:tc>
          <w:tcPr>
            <w:tcW w:w="28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7A28D9E0" w14:textId="77777777" w:rsidR="00E47776" w:rsidRPr="00E47776" w:rsidRDefault="00E47776" w:rsidP="00E47776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  <w:t>Avg. Pass % PG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0C3B53B3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81.45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5B06AE1A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79.28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2A51FE81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78.57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269D5349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68.10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7C90E8BD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70.97</w:t>
            </w:r>
          </w:p>
        </w:tc>
      </w:tr>
      <w:tr w:rsidR="00E47776" w:rsidRPr="00E47776" w14:paraId="346F636D" w14:textId="77777777" w:rsidTr="002E08F6">
        <w:trPr>
          <w:trHeight w:val="624"/>
        </w:trPr>
        <w:tc>
          <w:tcPr>
            <w:tcW w:w="28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7BD568C1" w14:textId="77777777" w:rsidR="00E47776" w:rsidRPr="00E47776" w:rsidRDefault="00E47776" w:rsidP="00E47776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  <w:t>Avg. Pass % UG and PG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4520AAF3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92.25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114B096B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93.18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06B4F8E2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89.77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67BCB39E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88.83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4D43931B" w14:textId="77777777" w:rsidR="00E47776" w:rsidRPr="00E47776" w:rsidRDefault="00E47776" w:rsidP="00E4777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E47776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96.49</w:t>
            </w:r>
          </w:p>
        </w:tc>
      </w:tr>
    </w:tbl>
    <w:p w14:paraId="304626AA" w14:textId="77777777" w:rsidR="00E47776" w:rsidRDefault="00E47776" w:rsidP="00E47776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bidi="hi-IN"/>
        </w:rPr>
      </w:pPr>
    </w:p>
    <w:p w14:paraId="0E4607FA" w14:textId="77777777" w:rsidR="00E47776" w:rsidRDefault="00E47776" w:rsidP="00E47776">
      <w:pPr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bidi="hi-IN"/>
        </w:rPr>
      </w:pPr>
      <w:r>
        <w:rPr>
          <w:noProof/>
          <w:lang w:val="en-IN" w:eastAsia="en-IN"/>
        </w:rPr>
        <w:drawing>
          <wp:inline distT="0" distB="0" distL="0" distR="0" wp14:anchorId="3FC473BC" wp14:editId="6E98D6CD">
            <wp:extent cx="5016500" cy="2901950"/>
            <wp:effectExtent l="0" t="0" r="12700" b="1270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FACA87C" w14:textId="77777777" w:rsidR="000026A2" w:rsidRPr="002E08F6" w:rsidRDefault="000026A2" w:rsidP="002E08F6">
      <w:pPr>
        <w:pStyle w:val="ListParagraph"/>
        <w:numPr>
          <w:ilvl w:val="0"/>
          <w:numId w:val="9"/>
        </w:numPr>
        <w:spacing w:before="360" w:after="120"/>
        <w:ind w:left="425" w:hanging="425"/>
        <w:contextualSpacing w:val="0"/>
        <w:rPr>
          <w:rFonts w:ascii="Times New Roman" w:hAnsi="Times New Roman"/>
          <w:b/>
          <w:bCs/>
          <w:iCs/>
          <w:sz w:val="32"/>
          <w:szCs w:val="32"/>
          <w:shd w:val="clear" w:color="auto" w:fill="FFFFFF"/>
        </w:rPr>
      </w:pPr>
      <w:r w:rsidRPr="002E08F6">
        <w:rPr>
          <w:rFonts w:ascii="Times New Roman" w:hAnsi="Times New Roman"/>
          <w:b/>
          <w:bCs/>
          <w:iCs/>
          <w:sz w:val="32"/>
          <w:szCs w:val="32"/>
          <w:shd w:val="clear" w:color="auto" w:fill="FFFFFF"/>
        </w:rPr>
        <w:lastRenderedPageBreak/>
        <w:t>Link for supporting documents (university result and result analysis)</w:t>
      </w:r>
    </w:p>
    <w:p w14:paraId="0DC86C66" w14:textId="77777777" w:rsidR="000026A2" w:rsidRDefault="000026A2" w:rsidP="00002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Result analysis of final year UG </w:t>
      </w:r>
      <w:r w:rsidR="002E08F6">
        <w:rPr>
          <w:rFonts w:ascii="Times New Roman" w:eastAsia="Times New Roman" w:hAnsi="Times New Roman"/>
          <w:sz w:val="24"/>
          <w:szCs w:val="24"/>
        </w:rPr>
        <w:t xml:space="preserve">and </w:t>
      </w:r>
      <w:r>
        <w:rPr>
          <w:rFonts w:ascii="Times New Roman" w:eastAsia="Times New Roman" w:hAnsi="Times New Roman"/>
          <w:sz w:val="24"/>
          <w:szCs w:val="24"/>
        </w:rPr>
        <w:t>PG programme is conducted on the basis of result declared by affiliated university</w:t>
      </w:r>
      <w:r w:rsidRPr="000026A2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for last five year. </w:t>
      </w:r>
      <w:r w:rsidR="002E08F6">
        <w:rPr>
          <w:rFonts w:ascii="Times New Roman" w:eastAsia="Times New Roman" w:hAnsi="Times New Roman"/>
          <w:sz w:val="24"/>
          <w:szCs w:val="24"/>
        </w:rPr>
        <w:t>Use the link given in the following Table for t</w:t>
      </w:r>
      <w:r>
        <w:rPr>
          <w:rFonts w:ascii="Times New Roman" w:eastAsia="Times New Roman" w:hAnsi="Times New Roman"/>
          <w:sz w:val="24"/>
          <w:szCs w:val="24"/>
        </w:rPr>
        <w:t xml:space="preserve">he university result and result </w:t>
      </w:r>
      <w:r w:rsidR="002E08F6">
        <w:rPr>
          <w:rFonts w:ascii="Times New Roman" w:eastAsia="Times New Roman" w:hAnsi="Times New Roman"/>
          <w:sz w:val="24"/>
          <w:szCs w:val="24"/>
        </w:rPr>
        <w:t>analysis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2E08F6">
        <w:rPr>
          <w:rFonts w:ascii="Times New Roman" w:eastAsia="Times New Roman" w:hAnsi="Times New Roman"/>
          <w:sz w:val="24"/>
          <w:szCs w:val="24"/>
        </w:rPr>
        <w:t xml:space="preserve">for UG and PG for last five year. </w:t>
      </w:r>
    </w:p>
    <w:p w14:paraId="5CF3463E" w14:textId="77777777" w:rsidR="002E08F6" w:rsidRDefault="002E08F6" w:rsidP="000026A2">
      <w:pPr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33"/>
        <w:gridCol w:w="3753"/>
        <w:gridCol w:w="4457"/>
      </w:tblGrid>
      <w:tr w:rsidR="002E08F6" w:rsidRPr="00707333" w14:paraId="309E2242" w14:textId="77777777" w:rsidTr="00B136D6">
        <w:trPr>
          <w:trHeight w:val="510"/>
        </w:trPr>
        <w:tc>
          <w:tcPr>
            <w:tcW w:w="559" w:type="pct"/>
          </w:tcPr>
          <w:p w14:paraId="7BDA9368" w14:textId="77777777" w:rsidR="002E08F6" w:rsidRPr="00707333" w:rsidRDefault="002E08F6" w:rsidP="00B136D6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030" w:type="pct"/>
          </w:tcPr>
          <w:p w14:paraId="0B5609A6" w14:textId="77777777" w:rsidR="002E08F6" w:rsidRPr="00707333" w:rsidRDefault="002E08F6" w:rsidP="00B136D6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File Description</w:t>
            </w:r>
          </w:p>
        </w:tc>
        <w:tc>
          <w:tcPr>
            <w:tcW w:w="2411" w:type="pct"/>
          </w:tcPr>
          <w:p w14:paraId="7EBCEB5C" w14:textId="77777777" w:rsidR="002E08F6" w:rsidRPr="00707333" w:rsidRDefault="002E08F6" w:rsidP="00B136D6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Link to open</w:t>
            </w:r>
          </w:p>
        </w:tc>
      </w:tr>
      <w:tr w:rsidR="002E08F6" w:rsidRPr="00707333" w14:paraId="2AFCF75E" w14:textId="77777777" w:rsidTr="00B136D6">
        <w:trPr>
          <w:trHeight w:val="510"/>
        </w:trPr>
        <w:tc>
          <w:tcPr>
            <w:tcW w:w="559" w:type="pct"/>
          </w:tcPr>
          <w:p w14:paraId="3D94FEF1" w14:textId="77777777" w:rsidR="002E08F6" w:rsidRPr="00707333" w:rsidRDefault="002E08F6" w:rsidP="00B136D6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18052989" w14:textId="77777777" w:rsidR="002E08F6" w:rsidRPr="00707333" w:rsidRDefault="002E08F6" w:rsidP="00B136D6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Result Analysis  15-16</w:t>
            </w:r>
          </w:p>
        </w:tc>
        <w:tc>
          <w:tcPr>
            <w:tcW w:w="2411" w:type="pct"/>
          </w:tcPr>
          <w:p w14:paraId="19173946" w14:textId="5C7484B0" w:rsidR="002E08F6" w:rsidRPr="00707333" w:rsidRDefault="00031D88" w:rsidP="00B136D6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0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E08F6" w:rsidRPr="00707333" w14:paraId="72B05E14" w14:textId="77777777" w:rsidTr="00B136D6">
        <w:trPr>
          <w:trHeight w:val="510"/>
        </w:trPr>
        <w:tc>
          <w:tcPr>
            <w:tcW w:w="559" w:type="pct"/>
          </w:tcPr>
          <w:p w14:paraId="45AA88D2" w14:textId="77777777" w:rsidR="002E08F6" w:rsidRPr="00707333" w:rsidRDefault="002E08F6" w:rsidP="00B136D6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3A4FB88E" w14:textId="77777777" w:rsidR="002E08F6" w:rsidRPr="00707333" w:rsidRDefault="002E08F6" w:rsidP="00B136D6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Result Analysis  16-17</w:t>
            </w:r>
          </w:p>
        </w:tc>
        <w:tc>
          <w:tcPr>
            <w:tcW w:w="2411" w:type="pct"/>
          </w:tcPr>
          <w:p w14:paraId="1F67F861" w14:textId="6C40AD7B" w:rsidR="002E08F6" w:rsidRPr="00707333" w:rsidRDefault="00031D88" w:rsidP="00B136D6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1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E08F6" w:rsidRPr="00707333" w14:paraId="79918BFC" w14:textId="77777777" w:rsidTr="00B136D6">
        <w:trPr>
          <w:trHeight w:val="510"/>
        </w:trPr>
        <w:tc>
          <w:tcPr>
            <w:tcW w:w="559" w:type="pct"/>
          </w:tcPr>
          <w:p w14:paraId="731611FC" w14:textId="77777777" w:rsidR="002E08F6" w:rsidRPr="00707333" w:rsidRDefault="002E08F6" w:rsidP="00B136D6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30BCDFF7" w14:textId="77777777" w:rsidR="002E08F6" w:rsidRPr="00707333" w:rsidRDefault="002E08F6" w:rsidP="00B136D6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Result Analysis  17-18</w:t>
            </w:r>
          </w:p>
        </w:tc>
        <w:tc>
          <w:tcPr>
            <w:tcW w:w="2411" w:type="pct"/>
          </w:tcPr>
          <w:p w14:paraId="58E8E477" w14:textId="730B4B05" w:rsidR="002E08F6" w:rsidRPr="00707333" w:rsidRDefault="00031D88" w:rsidP="00B136D6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2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E08F6" w:rsidRPr="00707333" w14:paraId="0A271533" w14:textId="77777777" w:rsidTr="00B136D6">
        <w:trPr>
          <w:trHeight w:val="510"/>
        </w:trPr>
        <w:tc>
          <w:tcPr>
            <w:tcW w:w="559" w:type="pct"/>
          </w:tcPr>
          <w:p w14:paraId="5FB42BD2" w14:textId="77777777" w:rsidR="002E08F6" w:rsidRPr="00707333" w:rsidRDefault="002E08F6" w:rsidP="00B136D6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1E01F913" w14:textId="77777777" w:rsidR="002E08F6" w:rsidRPr="00707333" w:rsidRDefault="002E08F6" w:rsidP="00B136D6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Result Analysis  18-19</w:t>
            </w:r>
          </w:p>
        </w:tc>
        <w:tc>
          <w:tcPr>
            <w:tcW w:w="2411" w:type="pct"/>
          </w:tcPr>
          <w:p w14:paraId="4CBD02F3" w14:textId="1FF89BA5" w:rsidR="002E08F6" w:rsidRPr="00707333" w:rsidRDefault="00031D88" w:rsidP="00B136D6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3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E08F6" w:rsidRPr="00707333" w14:paraId="36AAF4D7" w14:textId="77777777" w:rsidTr="00B136D6">
        <w:trPr>
          <w:trHeight w:val="510"/>
        </w:trPr>
        <w:tc>
          <w:tcPr>
            <w:tcW w:w="559" w:type="pct"/>
          </w:tcPr>
          <w:p w14:paraId="1864EEBE" w14:textId="77777777" w:rsidR="002E08F6" w:rsidRPr="00707333" w:rsidRDefault="002E08F6" w:rsidP="00B136D6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73279EC0" w14:textId="77777777" w:rsidR="002E08F6" w:rsidRPr="00707333" w:rsidRDefault="002E08F6" w:rsidP="00B136D6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Result Analysis  19-20</w:t>
            </w:r>
          </w:p>
        </w:tc>
        <w:tc>
          <w:tcPr>
            <w:tcW w:w="2411" w:type="pct"/>
          </w:tcPr>
          <w:p w14:paraId="520220A3" w14:textId="03B6764D" w:rsidR="002E08F6" w:rsidRPr="00707333" w:rsidRDefault="00031D88" w:rsidP="00B136D6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4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E08F6" w:rsidRPr="00707333" w14:paraId="012C5F07" w14:textId="77777777" w:rsidTr="00B136D6">
        <w:trPr>
          <w:trHeight w:val="510"/>
        </w:trPr>
        <w:tc>
          <w:tcPr>
            <w:tcW w:w="559" w:type="pct"/>
          </w:tcPr>
          <w:p w14:paraId="577FBDF6" w14:textId="77777777" w:rsidR="002E08F6" w:rsidRPr="00707333" w:rsidRDefault="002E08F6" w:rsidP="00B136D6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5AA768BF" w14:textId="77777777" w:rsidR="002E08F6" w:rsidRDefault="002E08F6" w:rsidP="00B136D6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UG Result</w:t>
            </w:r>
          </w:p>
        </w:tc>
        <w:tc>
          <w:tcPr>
            <w:tcW w:w="2411" w:type="pct"/>
          </w:tcPr>
          <w:p w14:paraId="636A542E" w14:textId="38E83658" w:rsidR="002E08F6" w:rsidRPr="00707333" w:rsidRDefault="00031D88" w:rsidP="00B136D6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5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E08F6" w:rsidRPr="00707333" w14:paraId="0CD64B2E" w14:textId="77777777" w:rsidTr="00B136D6">
        <w:trPr>
          <w:trHeight w:val="510"/>
        </w:trPr>
        <w:tc>
          <w:tcPr>
            <w:tcW w:w="559" w:type="pct"/>
          </w:tcPr>
          <w:p w14:paraId="1E463BC1" w14:textId="77777777" w:rsidR="002E08F6" w:rsidRPr="00707333" w:rsidRDefault="002E08F6" w:rsidP="00B136D6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076F150A" w14:textId="77777777" w:rsidR="002E08F6" w:rsidRDefault="002E08F6" w:rsidP="00B136D6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ME (PG) Result</w:t>
            </w:r>
          </w:p>
        </w:tc>
        <w:tc>
          <w:tcPr>
            <w:tcW w:w="2411" w:type="pct"/>
          </w:tcPr>
          <w:p w14:paraId="4B86C8E8" w14:textId="2729A5A9" w:rsidR="002E08F6" w:rsidRPr="00707333" w:rsidRDefault="00031D88" w:rsidP="00B136D6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6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E08F6" w:rsidRPr="00707333" w14:paraId="0DE8F885" w14:textId="77777777" w:rsidTr="00B136D6">
        <w:trPr>
          <w:trHeight w:val="510"/>
        </w:trPr>
        <w:tc>
          <w:tcPr>
            <w:tcW w:w="559" w:type="pct"/>
          </w:tcPr>
          <w:p w14:paraId="140EEC3F" w14:textId="77777777" w:rsidR="002E08F6" w:rsidRPr="00707333" w:rsidRDefault="002E08F6" w:rsidP="00B136D6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1B89D9C5" w14:textId="77777777" w:rsidR="002E08F6" w:rsidRDefault="002E08F6" w:rsidP="00B136D6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MBA (PG) Result</w:t>
            </w:r>
          </w:p>
        </w:tc>
        <w:tc>
          <w:tcPr>
            <w:tcW w:w="2411" w:type="pct"/>
          </w:tcPr>
          <w:p w14:paraId="12742CD7" w14:textId="7D31ABF9" w:rsidR="002E08F6" w:rsidRPr="00707333" w:rsidRDefault="00031D88" w:rsidP="00B136D6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7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3D92B393" w14:textId="77777777" w:rsidR="002E08F6" w:rsidRPr="00E47776" w:rsidRDefault="002E08F6" w:rsidP="000026A2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bidi="hi-IN"/>
        </w:rPr>
      </w:pPr>
    </w:p>
    <w:sectPr w:rsidR="002E08F6" w:rsidRPr="00E47776" w:rsidSect="004C3D1F">
      <w:headerReference w:type="default" r:id="rId18"/>
      <w:footerReference w:type="default" r:id="rId19"/>
      <w:pgSz w:w="11907" w:h="16840" w:code="9"/>
      <w:pgMar w:top="1418" w:right="1440" w:bottom="1418" w:left="1440" w:header="39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A3853" w14:textId="77777777" w:rsidR="005A6274" w:rsidRDefault="005A6274" w:rsidP="004C3D1F">
      <w:pPr>
        <w:spacing w:after="0" w:line="240" w:lineRule="auto"/>
      </w:pPr>
      <w:r>
        <w:separator/>
      </w:r>
    </w:p>
  </w:endnote>
  <w:endnote w:type="continuationSeparator" w:id="0">
    <w:p w14:paraId="0646187C" w14:textId="77777777" w:rsidR="005A6274" w:rsidRDefault="005A6274" w:rsidP="004C3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81639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6AC55C27" w14:textId="77777777" w:rsidR="00B049B8" w:rsidRPr="00B049B8" w:rsidRDefault="00B049B8">
        <w:pPr>
          <w:pStyle w:val="Footer"/>
          <w:jc w:val="right"/>
          <w:rPr>
            <w:rFonts w:ascii="Times New Roman" w:hAnsi="Times New Roman" w:cs="Times New Roman"/>
          </w:rPr>
        </w:pPr>
        <w:r w:rsidRPr="00B049B8">
          <w:rPr>
            <w:rFonts w:ascii="Times New Roman" w:hAnsi="Times New Roman" w:cs="Times New Roman"/>
          </w:rPr>
          <w:fldChar w:fldCharType="begin"/>
        </w:r>
        <w:r w:rsidRPr="00B049B8">
          <w:rPr>
            <w:rFonts w:ascii="Times New Roman" w:hAnsi="Times New Roman" w:cs="Times New Roman"/>
          </w:rPr>
          <w:instrText xml:space="preserve"> PAGE   \* MERGEFORMAT </w:instrText>
        </w:r>
        <w:r w:rsidRPr="00B049B8">
          <w:rPr>
            <w:rFonts w:ascii="Times New Roman" w:hAnsi="Times New Roman" w:cs="Times New Roman"/>
          </w:rPr>
          <w:fldChar w:fldCharType="separate"/>
        </w:r>
        <w:r w:rsidR="002E08F6">
          <w:rPr>
            <w:rFonts w:ascii="Times New Roman" w:hAnsi="Times New Roman" w:cs="Times New Roman"/>
            <w:noProof/>
          </w:rPr>
          <w:t>1</w:t>
        </w:r>
        <w:r w:rsidRPr="00B049B8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306D3097" w14:textId="77777777" w:rsidR="00B049B8" w:rsidRDefault="00B049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3DBBB" w14:textId="77777777" w:rsidR="005A6274" w:rsidRDefault="005A6274" w:rsidP="004C3D1F">
      <w:pPr>
        <w:spacing w:after="0" w:line="240" w:lineRule="auto"/>
      </w:pPr>
      <w:r>
        <w:separator/>
      </w:r>
    </w:p>
  </w:footnote>
  <w:footnote w:type="continuationSeparator" w:id="0">
    <w:p w14:paraId="678EC792" w14:textId="77777777" w:rsidR="005A6274" w:rsidRDefault="005A6274" w:rsidP="004C3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thickThinSmallGap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75"/>
    </w:tblGrid>
    <w:tr w:rsidR="004C3D1F" w:rsidRPr="00707333" w14:paraId="622CE59D" w14:textId="77777777" w:rsidTr="00B049B8">
      <w:trPr>
        <w:trHeight w:val="1343"/>
      </w:trPr>
      <w:tc>
        <w:tcPr>
          <w:tcW w:w="1668" w:type="dxa"/>
        </w:tcPr>
        <w:p w14:paraId="362EBD2C" w14:textId="77777777" w:rsidR="004C3D1F" w:rsidRPr="00707333" w:rsidRDefault="004C3D1F" w:rsidP="005A57FE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Calibri" w:eastAsia="Calibri" w:hAnsi="Calibri" w:cs="Mangal"/>
              <w:noProof/>
              <w:lang w:val="en-IN" w:eastAsia="en-IN"/>
            </w:rPr>
            <w:drawing>
              <wp:inline distT="0" distB="0" distL="0" distR="0" wp14:anchorId="7B9A7DD0" wp14:editId="70D9900B">
                <wp:extent cx="909511" cy="826383"/>
                <wp:effectExtent l="0" t="0" r="5080" b="0"/>
                <wp:docPr id="1" name="Picture 1" descr="AVCO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VCO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522" cy="830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97" w:type="dxa"/>
          <w:vAlign w:val="center"/>
        </w:tcPr>
        <w:p w14:paraId="3A1C13B5" w14:textId="77777777" w:rsidR="004C3D1F" w:rsidRPr="00707333" w:rsidRDefault="004C3D1F" w:rsidP="00B049B8">
          <w:pPr>
            <w:jc w:val="center"/>
            <w:rPr>
              <w:rFonts w:ascii="Calibri" w:eastAsia="Calibri" w:hAnsi="Calibri" w:cs="Mangal"/>
              <w:noProof/>
            </w:rPr>
          </w:pPr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>Amrutvahini College of Engineering, Sangamner</w:t>
          </w:r>
        </w:p>
      </w:tc>
    </w:tr>
  </w:tbl>
  <w:p w14:paraId="6F719039" w14:textId="77777777" w:rsidR="004C3D1F" w:rsidRDefault="004C3D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40691"/>
    <w:multiLevelType w:val="hybridMultilevel"/>
    <w:tmpl w:val="339A03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8F64C4"/>
    <w:multiLevelType w:val="hybridMultilevel"/>
    <w:tmpl w:val="0EE0F19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353338"/>
    <w:multiLevelType w:val="hybridMultilevel"/>
    <w:tmpl w:val="6ADE49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4749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E7F2A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540510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F5714E"/>
    <w:multiLevelType w:val="multilevel"/>
    <w:tmpl w:val="73AE4AFC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4F53837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E7B31"/>
    <w:multiLevelType w:val="hybridMultilevel"/>
    <w:tmpl w:val="BC76A8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5"/>
  </w:num>
  <w:num w:numId="5">
    <w:abstractNumId w:val="3"/>
  </w:num>
  <w:num w:numId="6">
    <w:abstractNumId w:val="4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7E3D"/>
    <w:rsid w:val="000026A2"/>
    <w:rsid w:val="00031D88"/>
    <w:rsid w:val="0005007F"/>
    <w:rsid w:val="000967B7"/>
    <w:rsid w:val="000A147A"/>
    <w:rsid w:val="000A4E60"/>
    <w:rsid w:val="000B3221"/>
    <w:rsid w:val="000D4796"/>
    <w:rsid w:val="00144D89"/>
    <w:rsid w:val="00177E3D"/>
    <w:rsid w:val="001E1133"/>
    <w:rsid w:val="0023103C"/>
    <w:rsid w:val="0025641E"/>
    <w:rsid w:val="00261C68"/>
    <w:rsid w:val="0029075B"/>
    <w:rsid w:val="002C0BE7"/>
    <w:rsid w:val="002E08F6"/>
    <w:rsid w:val="0034289E"/>
    <w:rsid w:val="003540E2"/>
    <w:rsid w:val="0035726B"/>
    <w:rsid w:val="003C58EB"/>
    <w:rsid w:val="00476CC5"/>
    <w:rsid w:val="004C3D1F"/>
    <w:rsid w:val="005040E1"/>
    <w:rsid w:val="00534BB2"/>
    <w:rsid w:val="00556E88"/>
    <w:rsid w:val="005660F9"/>
    <w:rsid w:val="00566780"/>
    <w:rsid w:val="00595E17"/>
    <w:rsid w:val="005A3F09"/>
    <w:rsid w:val="005A57FE"/>
    <w:rsid w:val="005A6274"/>
    <w:rsid w:val="005B1610"/>
    <w:rsid w:val="005B57D5"/>
    <w:rsid w:val="00656654"/>
    <w:rsid w:val="006777A3"/>
    <w:rsid w:val="006B2E7F"/>
    <w:rsid w:val="006C1DFB"/>
    <w:rsid w:val="006E27E9"/>
    <w:rsid w:val="006E75B6"/>
    <w:rsid w:val="00737561"/>
    <w:rsid w:val="00737AAF"/>
    <w:rsid w:val="00751784"/>
    <w:rsid w:val="007540D2"/>
    <w:rsid w:val="007641D8"/>
    <w:rsid w:val="00774452"/>
    <w:rsid w:val="007A7571"/>
    <w:rsid w:val="007B2B98"/>
    <w:rsid w:val="007C5216"/>
    <w:rsid w:val="00860F0F"/>
    <w:rsid w:val="00877AD0"/>
    <w:rsid w:val="008D1608"/>
    <w:rsid w:val="008F604A"/>
    <w:rsid w:val="00903325"/>
    <w:rsid w:val="009440D7"/>
    <w:rsid w:val="00946BDA"/>
    <w:rsid w:val="009653EA"/>
    <w:rsid w:val="009C632D"/>
    <w:rsid w:val="00A2537E"/>
    <w:rsid w:val="00AE0A45"/>
    <w:rsid w:val="00AE7B8A"/>
    <w:rsid w:val="00B0073E"/>
    <w:rsid w:val="00B049B8"/>
    <w:rsid w:val="00B15342"/>
    <w:rsid w:val="00B65068"/>
    <w:rsid w:val="00BD2C59"/>
    <w:rsid w:val="00BF3F60"/>
    <w:rsid w:val="00BF7681"/>
    <w:rsid w:val="00C12A2B"/>
    <w:rsid w:val="00C315FA"/>
    <w:rsid w:val="00C50069"/>
    <w:rsid w:val="00CB604F"/>
    <w:rsid w:val="00CC25BB"/>
    <w:rsid w:val="00D15FE9"/>
    <w:rsid w:val="00D25375"/>
    <w:rsid w:val="00D60785"/>
    <w:rsid w:val="00D93020"/>
    <w:rsid w:val="00DC72A4"/>
    <w:rsid w:val="00E47776"/>
    <w:rsid w:val="00E74FF5"/>
    <w:rsid w:val="00E7776F"/>
    <w:rsid w:val="00EE1B4B"/>
    <w:rsid w:val="00F3728C"/>
    <w:rsid w:val="00F418E0"/>
    <w:rsid w:val="00F94426"/>
    <w:rsid w:val="00FB5EF9"/>
    <w:rsid w:val="00FB78B2"/>
    <w:rsid w:val="00FE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B5D07"/>
  <w15:docId w15:val="{BE103766-98EE-4EF6-96F1-62049ADD1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7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3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D1F"/>
  </w:style>
  <w:style w:type="paragraph" w:styleId="Footer">
    <w:name w:val="footer"/>
    <w:basedOn w:val="Normal"/>
    <w:link w:val="Foot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D1F"/>
  </w:style>
  <w:style w:type="table" w:customStyle="1" w:styleId="TableGrid1">
    <w:name w:val="Table Grid1"/>
    <w:basedOn w:val="TableNormal"/>
    <w:next w:val="TableGrid"/>
    <w:uiPriority w:val="59"/>
    <w:rsid w:val="004C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031D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3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avcoe.org/NAAC/CR-2/2.6.3/2.6.3_Result_2018-19_ISO.pdf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avcoe.org/NAAC/CR-2/2.6.3/2.6.3_Result_2017-18_ISO.pdf" TargetMode="External"/><Relationship Id="rId17" Type="http://schemas.openxmlformats.org/officeDocument/2006/relationships/hyperlink" Target="http://www.avcoe.org/NAAC/CR-2/2.6.3/MBA_MAY%202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vcoe.org/NAAC/CR-2/2.6.3/ME_MAY%20-20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vcoe.org/NAAC/CR-2/2.6.3/2.6.3_Result%202016-17_ISO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vcoe.org/NAAC/CR-2/2.6.3/UG_19-20/" TargetMode="External"/><Relationship Id="rId10" Type="http://schemas.openxmlformats.org/officeDocument/2006/relationships/hyperlink" Target="http://www.avcoe.org/NAAC/CR-2/2.6.3/2.6.3_Result%202015-16_ISO.pd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yperlink" Target="http://www.avcoe.org/NAAC/CR-2/2.6.3/2.6.3_Result_2019-20_ISO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solidFill>
          <a:schemeClr val="accent1">
            <a:lumMod val="20000"/>
            <a:lumOff val="80000"/>
          </a:schemeClr>
        </a:solidFill>
      </c:spPr>
      <c:txPr>
        <a:bodyPr/>
        <a:lstStyle/>
        <a:p>
          <a:pPr>
            <a:defRPr sz="1200">
              <a:solidFill>
                <a:srgbClr val="002060"/>
              </a:solidFill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2"/>
          <c:order val="0"/>
          <c:tx>
            <c:strRef>
              <c:f>Summary!$B$18</c:f>
              <c:strCache>
                <c:ptCount val="1"/>
                <c:pt idx="0">
                  <c:v>Average pass percentage of Students during last five years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Summary!$C$15:$G$15</c:f>
              <c:strCache>
                <c:ptCount val="5"/>
                <c:pt idx="0">
                  <c:v>15-16</c:v>
                </c:pt>
                <c:pt idx="1">
                  <c:v>16-17</c:v>
                </c:pt>
                <c:pt idx="2">
                  <c:v>17-18</c:v>
                </c:pt>
                <c:pt idx="3">
                  <c:v>18-19</c:v>
                </c:pt>
                <c:pt idx="4">
                  <c:v>19-20</c:v>
                </c:pt>
              </c:strCache>
            </c:strRef>
          </c:cat>
          <c:val>
            <c:numRef>
              <c:f>Summary!$C$18:$G$18</c:f>
              <c:numCache>
                <c:formatCode>0.00</c:formatCode>
                <c:ptCount val="5"/>
                <c:pt idx="0">
                  <c:v>92.248908296943227</c:v>
                </c:pt>
                <c:pt idx="1">
                  <c:v>93.179538615847548</c:v>
                </c:pt>
                <c:pt idx="2">
                  <c:v>89.773950484391818</c:v>
                </c:pt>
                <c:pt idx="3">
                  <c:v>88.834951456310677</c:v>
                </c:pt>
                <c:pt idx="4">
                  <c:v>96.493092454835278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2A3-4648-9EC5-45AF439278E3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68"/>
        <c:overlap val="2"/>
        <c:axId val="255149568"/>
        <c:axId val="255931136"/>
      </c:barChart>
      <c:catAx>
        <c:axId val="2551495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55931136"/>
        <c:crosses val="autoZero"/>
        <c:auto val="1"/>
        <c:lblAlgn val="ctr"/>
        <c:lblOffset val="100"/>
        <c:noMultiLvlLbl val="0"/>
      </c:catAx>
      <c:valAx>
        <c:axId val="255931136"/>
        <c:scaling>
          <c:orientation val="minMax"/>
          <c:max val="100"/>
          <c:min val="0"/>
        </c:scaling>
        <c:delete val="0"/>
        <c:axPos val="l"/>
        <c:majorGridlines/>
        <c:numFmt formatCode="0.00" sourceLinked="1"/>
        <c:majorTickMark val="out"/>
        <c:minorTickMark val="none"/>
        <c:tickLblPos val="nextTo"/>
        <c:crossAx val="255149568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Book Antiqua" pitchFamily="18" charset="0"/>
        </a:defRPr>
      </a:pPr>
      <a:endParaRPr lang="en-US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solidFill>
                  <a:srgbClr val="002060"/>
                </a:solidFill>
              </a:defRPr>
            </a:pPr>
            <a:r>
              <a:rPr lang="en-IN" sz="1200">
                <a:solidFill>
                  <a:srgbClr val="002060"/>
                </a:solidFill>
              </a:rPr>
              <a:t>Average pass % of UG and PG Students during last five years</a:t>
            </a:r>
          </a:p>
        </c:rich>
      </c:tx>
      <c:overlay val="0"/>
      <c:spPr>
        <a:solidFill>
          <a:schemeClr val="accent1">
            <a:lumMod val="20000"/>
            <a:lumOff val="80000"/>
          </a:schemeClr>
        </a:solidFill>
      </c:spPr>
    </c:title>
    <c:autoTitleDeleted val="0"/>
    <c:plotArea>
      <c:layout>
        <c:manualLayout>
          <c:layoutTarget val="inner"/>
          <c:xMode val="edge"/>
          <c:yMode val="edge"/>
          <c:x val="0.12125240594925635"/>
          <c:y val="0.21376219116521875"/>
          <c:w val="0.70030358705161855"/>
          <c:h val="0.67025791517757694"/>
        </c:manualLayout>
      </c:layout>
      <c:barChart>
        <c:barDir val="col"/>
        <c:grouping val="clustered"/>
        <c:varyColors val="0"/>
        <c:ser>
          <c:idx val="5"/>
          <c:order val="0"/>
          <c:tx>
            <c:strRef>
              <c:f>Summary!$B$9</c:f>
              <c:strCache>
                <c:ptCount val="1"/>
                <c:pt idx="0">
                  <c:v>Avg. Pass % PG</c:v>
                </c:pt>
              </c:strCache>
            </c:strRef>
          </c:tx>
          <c:spPr>
            <a:solidFill>
              <a:schemeClr val="accent1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Summary!$C$3:$G$3</c:f>
              <c:strCache>
                <c:ptCount val="5"/>
                <c:pt idx="0">
                  <c:v>15-16</c:v>
                </c:pt>
                <c:pt idx="1">
                  <c:v>16-17</c:v>
                </c:pt>
                <c:pt idx="2">
                  <c:v>17-18</c:v>
                </c:pt>
                <c:pt idx="3">
                  <c:v>18-19</c:v>
                </c:pt>
                <c:pt idx="4">
                  <c:v>19-20</c:v>
                </c:pt>
              </c:strCache>
            </c:strRef>
          </c:cat>
          <c:val>
            <c:numRef>
              <c:f>Summary!$C$9:$G$9</c:f>
              <c:numCache>
                <c:formatCode>0.00</c:formatCode>
                <c:ptCount val="5"/>
                <c:pt idx="0">
                  <c:v>81.451612903225808</c:v>
                </c:pt>
                <c:pt idx="1">
                  <c:v>79.27927927927928</c:v>
                </c:pt>
                <c:pt idx="2">
                  <c:v>78.571428571428569</c:v>
                </c:pt>
                <c:pt idx="3">
                  <c:v>68.103448275862064</c:v>
                </c:pt>
                <c:pt idx="4">
                  <c:v>70.967741935483872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88C-400F-84D6-4C6BBD632CA1}"/>
            </c:ext>
          </c:extLst>
        </c:ser>
        <c:ser>
          <c:idx val="2"/>
          <c:order val="1"/>
          <c:tx>
            <c:strRef>
              <c:f>Summary!$B$6</c:f>
              <c:strCache>
                <c:ptCount val="1"/>
                <c:pt idx="0">
                  <c:v>Avg. Pass % UG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Summary!$C$3:$G$3</c:f>
              <c:strCache>
                <c:ptCount val="5"/>
                <c:pt idx="0">
                  <c:v>15-16</c:v>
                </c:pt>
                <c:pt idx="1">
                  <c:v>16-17</c:v>
                </c:pt>
                <c:pt idx="2">
                  <c:v>17-18</c:v>
                </c:pt>
                <c:pt idx="3">
                  <c:v>18-19</c:v>
                </c:pt>
                <c:pt idx="4">
                  <c:v>19-20</c:v>
                </c:pt>
              </c:strCache>
            </c:strRef>
          </c:cat>
          <c:val>
            <c:numRef>
              <c:f>Summary!$C$6:$G$6</c:f>
              <c:numCache>
                <c:formatCode>0.00</c:formatCode>
                <c:ptCount val="5"/>
                <c:pt idx="0">
                  <c:v>93.939393939393938</c:v>
                </c:pt>
                <c:pt idx="1">
                  <c:v>94.920993227990976</c:v>
                </c:pt>
                <c:pt idx="2">
                  <c:v>91.095066185318899</c:v>
                </c:pt>
                <c:pt idx="3">
                  <c:v>91.466083150984687</c:v>
                </c:pt>
                <c:pt idx="4">
                  <c:v>99.29245283018868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88C-400F-84D6-4C6BBD632CA1}"/>
            </c:ext>
          </c:extLst>
        </c:ser>
        <c:ser>
          <c:idx val="6"/>
          <c:order val="2"/>
          <c:tx>
            <c:strRef>
              <c:f>Summary!$B$10</c:f>
              <c:strCache>
                <c:ptCount val="1"/>
                <c:pt idx="0">
                  <c:v>Avg. Pass % UG and PG</c:v>
                </c:pt>
              </c:strCache>
            </c:strRef>
          </c:tx>
          <c:spPr>
            <a:gradFill>
              <a:gsLst>
                <a:gs pos="0">
                  <a:schemeClr val="accent6">
                    <a:lumMod val="75000"/>
                  </a:schemeClr>
                </a:gs>
                <a:gs pos="77000">
                  <a:schemeClr val="accent1">
                    <a:tint val="44500"/>
                    <a:satMod val="160000"/>
                  </a:schemeClr>
                </a:gs>
                <a:gs pos="100000">
                  <a:schemeClr val="accent1">
                    <a:tint val="23500"/>
                    <a:satMod val="160000"/>
                  </a:schemeClr>
                </a:gs>
              </a:gsLst>
              <a:lin ang="5400000" scaled="0"/>
            </a:gradFill>
          </c:spPr>
          <c:invertIfNegative val="0"/>
          <c:dLbls>
            <c:spPr>
              <a:gradFill>
                <a:gsLst>
                  <a:gs pos="0">
                    <a:schemeClr val="accent6">
                      <a:lumMod val="75000"/>
                    </a:schemeClr>
                  </a:gs>
                  <a:gs pos="77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c:spPr>
            <c:txPr>
              <a:bodyPr rot="-5400000" vert="horz"/>
              <a:lstStyle/>
              <a:p>
                <a:pPr>
                  <a:defRPr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Summary!$C$3:$G$3</c:f>
              <c:strCache>
                <c:ptCount val="5"/>
                <c:pt idx="0">
                  <c:v>15-16</c:v>
                </c:pt>
                <c:pt idx="1">
                  <c:v>16-17</c:v>
                </c:pt>
                <c:pt idx="2">
                  <c:v>17-18</c:v>
                </c:pt>
                <c:pt idx="3">
                  <c:v>18-19</c:v>
                </c:pt>
                <c:pt idx="4">
                  <c:v>19-20</c:v>
                </c:pt>
              </c:strCache>
            </c:strRef>
          </c:cat>
          <c:val>
            <c:numRef>
              <c:f>Summary!$C$10:$G$10</c:f>
              <c:numCache>
                <c:formatCode>0.00</c:formatCode>
                <c:ptCount val="5"/>
                <c:pt idx="0">
                  <c:v>92.248908296943227</c:v>
                </c:pt>
                <c:pt idx="1">
                  <c:v>93.179538615847548</c:v>
                </c:pt>
                <c:pt idx="2">
                  <c:v>89.773950484391818</c:v>
                </c:pt>
                <c:pt idx="3">
                  <c:v>88.834951456310677</c:v>
                </c:pt>
                <c:pt idx="4">
                  <c:v>96.493092454835278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88C-400F-84D6-4C6BBD632CA1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35"/>
        <c:axId val="300301312"/>
        <c:axId val="303957120"/>
      </c:barChart>
      <c:catAx>
        <c:axId val="3003013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03957120"/>
        <c:crosses val="autoZero"/>
        <c:auto val="1"/>
        <c:lblAlgn val="ctr"/>
        <c:lblOffset val="100"/>
        <c:noMultiLvlLbl val="0"/>
      </c:catAx>
      <c:valAx>
        <c:axId val="303957120"/>
        <c:scaling>
          <c:orientation val="minMax"/>
        </c:scaling>
        <c:delete val="0"/>
        <c:axPos val="l"/>
        <c:majorGridlines/>
        <c:numFmt formatCode="0.00" sourceLinked="1"/>
        <c:majorTickMark val="out"/>
        <c:minorTickMark val="none"/>
        <c:tickLblPos val="nextTo"/>
        <c:crossAx val="300301312"/>
        <c:crosses val="autoZero"/>
        <c:crossBetween val="between"/>
      </c:valAx>
    </c:plotArea>
    <c:legend>
      <c:legendPos val="r"/>
      <c:legendEntry>
        <c:idx val="2"/>
        <c:txPr>
          <a:bodyPr/>
          <a:lstStyle/>
          <a:p>
            <a:pPr>
              <a:defRPr b="1">
                <a:solidFill>
                  <a:srgbClr val="0070C0"/>
                </a:solidFill>
              </a:defRPr>
            </a:pPr>
            <a:endParaRPr lang="en-US"/>
          </a:p>
        </c:txPr>
      </c:legendEntry>
      <c:layout>
        <c:manualLayout>
          <c:xMode val="edge"/>
          <c:yMode val="edge"/>
          <c:x val="0.81877821522309724"/>
          <c:y val="0.30034995625546806"/>
          <c:w val="0.15622178477690288"/>
          <c:h val="0.4826330562846311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>
          <a:latin typeface="Book Antiqua" pitchFamily="18" charset="0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8997E-062A-4075-BE71-A10F48A00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3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amrutvahini</dc:creator>
  <cp:keywords/>
  <dc:description/>
  <cp:lastModifiedBy>Mahesh Gunjal</cp:lastModifiedBy>
  <cp:revision>8</cp:revision>
  <cp:lastPrinted>2018-08-30T17:00:00Z</cp:lastPrinted>
  <dcterms:created xsi:type="dcterms:W3CDTF">2018-08-30T08:16:00Z</dcterms:created>
  <dcterms:modified xsi:type="dcterms:W3CDTF">2021-04-18T06:09:00Z</dcterms:modified>
</cp:coreProperties>
</file>